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標楷體" w:hAnsi="標楷體" w:eastAsia="標楷體"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 xml:space="preserve">  </w:t>
      </w:r>
      <w:r>
        <w:rPr>
          <w:rFonts w:ascii="標楷體" w:hAnsi="標楷體" w:eastAsia="標楷體"/>
          <w:b/>
          <w:sz w:val="36"/>
          <w:szCs w:val="36"/>
        </w:rPr>
        <w:t>交通部觀光署「臺灣觀光雙年曆」活動遴選提報表</w:t>
      </w:r>
    </w:p>
    <w:tbl>
      <w:tblPr>
        <w:tblW w:w="1047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5"/>
        <w:gridCol w:w="1242"/>
        <w:gridCol w:w="8496"/>
      </w:tblGrid>
      <w:tr>
        <w:trPr>
          <w:trHeight w:val="649" w:hRule="atLeast"/>
        </w:trPr>
        <w:tc>
          <w:tcPr>
            <w:tcW w:w="19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提案機關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49" w:hRule="atLeast"/>
        </w:trPr>
        <w:tc>
          <w:tcPr>
            <w:tcW w:w="19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參選活動級別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國際級      　□全國級</w:t>
            </w:r>
          </w:p>
        </w:tc>
      </w:tr>
      <w:tr>
        <w:trPr>
          <w:trHeight w:val="649" w:hRule="atLeast"/>
        </w:trPr>
        <w:tc>
          <w:tcPr>
            <w:tcW w:w="19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活動名稱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49" w:hRule="atLeast"/>
        </w:trPr>
        <w:tc>
          <w:tcPr>
            <w:tcW w:w="19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辦理時間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</w:tc>
      </w:tr>
      <w:tr>
        <w:trPr>
          <w:trHeight w:val="649" w:hRule="atLeast"/>
        </w:trPr>
        <w:tc>
          <w:tcPr>
            <w:tcW w:w="19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辦理地點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</w:r>
          </w:p>
        </w:tc>
      </w:tr>
      <w:tr>
        <w:trPr>
          <w:trHeight w:val="649" w:hRule="atLeast"/>
        </w:trPr>
        <w:tc>
          <w:tcPr>
            <w:tcW w:w="19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主辦單位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49" w:hRule="atLeast"/>
        </w:trPr>
        <w:tc>
          <w:tcPr>
            <w:tcW w:w="19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協辦單位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49" w:hRule="atLeast"/>
        </w:trPr>
        <w:tc>
          <w:tcPr>
            <w:tcW w:w="197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活動簡介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100</w:t>
            </w:r>
            <w:r>
              <w:rPr>
                <w:rFonts w:ascii="標楷體" w:hAnsi="標楷體" w:eastAsia="標楷體"/>
                <w:sz w:val="28"/>
                <w:szCs w:val="28"/>
              </w:rPr>
              <w:t>字內，包含活動特色、辦理年份、創新性等</w:t>
            </w:r>
          </w:p>
        </w:tc>
      </w:tr>
      <w:tr>
        <w:trPr>
          <w:trHeight w:val="948" w:hRule="atLeast"/>
        </w:trPr>
        <w:tc>
          <w:tcPr>
            <w:tcW w:w="197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活動內容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480"/>
              </w:tabs>
              <w:spacing w:lineRule="exact" w:line="440"/>
              <w:ind w:hanging="567" w:start="595" w:end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活動內涵</w:t>
            </w:r>
            <w:r>
              <w:rPr>
                <w:rFonts w:eastAsia="標楷體" w:ascii="標楷體" w:hAnsi="標楷體"/>
                <w:sz w:val="28"/>
                <w:szCs w:val="28"/>
              </w:rPr>
              <w:t>(30%)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480"/>
              </w:tabs>
              <w:spacing w:lineRule="exact" w:line="440"/>
              <w:ind w:hanging="567" w:start="896" w:end="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  <w:u w:val="single"/>
              </w:rPr>
              <w:t>整體活動架構與內涵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：觀光活動之國際化、品牌化、永續化、產品化、產值化。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480"/>
              </w:tabs>
              <w:spacing w:lineRule="exact" w:line="440"/>
              <w:ind w:hanging="567" w:start="896" w:end="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  <w:u w:val="single"/>
              </w:rPr>
              <w:t>規模與參與人次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：活動規模</w:t>
            </w:r>
            <w:r>
              <w:rPr>
                <w:rStyle w:val="Style14"/>
                <w:rFonts w:eastAsia="標楷體"/>
                <w:bCs/>
                <w:sz w:val="28"/>
                <w:szCs w:val="28"/>
              </w:rPr>
              <w:t>（迄今辦理次數、天數、場地區位及空間規模）、過往及預期國內外遊客參與體驗情形。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480"/>
              </w:tabs>
              <w:spacing w:lineRule="exact" w:line="440"/>
              <w:ind w:hanging="567" w:start="896" w:end="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  <w:u w:val="single"/>
              </w:rPr>
              <w:t>活動創新策略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：</w:t>
            </w:r>
            <w:bookmarkStart w:id="0" w:name="_Hlk204705933"/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具備異業結盟合作創意（如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IP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經濟、品牌聯名等）、具創新吸引旅客的策略作法，及與其他活動的差異。</w:t>
            </w:r>
            <w:bookmarkEnd w:id="0"/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480"/>
              </w:tabs>
              <w:spacing w:lineRule="exact" w:line="440"/>
              <w:ind w:hanging="567" w:start="896" w:end="0"/>
              <w:rPr/>
            </w:pPr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  <w:u w:val="single"/>
              </w:rPr>
              <w:t>在地文化</w:t>
            </w:r>
            <w:bookmarkStart w:id="1" w:name="_Hlk204705947"/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  <w:u w:val="single"/>
              </w:rPr>
              <w:t>連結</w:t>
            </w:r>
            <w:bookmarkEnd w:id="1"/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：</w:t>
            </w:r>
            <w:bookmarkStart w:id="2" w:name="_Hlk204705958"/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深入挖掘與活化在地資源，結合在地生活與文化意涵，強化活動內涵，提升情感連結與認同感。</w:t>
            </w:r>
            <w:bookmarkEnd w:id="2"/>
          </w:p>
        </w:tc>
      </w:tr>
      <w:tr>
        <w:trPr>
          <w:trHeight w:val="948" w:hRule="atLeast"/>
        </w:trPr>
        <w:tc>
          <w:tcPr>
            <w:tcW w:w="197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480"/>
              </w:tabs>
              <w:spacing w:lineRule="exact" w:line="440"/>
              <w:ind w:hanging="567" w:start="595" w:end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活動配套措施</w:t>
            </w:r>
            <w:r>
              <w:rPr>
                <w:rFonts w:eastAsia="標楷體" w:ascii="標楷體" w:hAnsi="標楷體"/>
                <w:sz w:val="28"/>
                <w:szCs w:val="28"/>
              </w:rPr>
              <w:t>(30%)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480"/>
              </w:tabs>
              <w:spacing w:lineRule="exact" w:line="440"/>
              <w:ind w:hanging="567" w:start="879" w:end="0"/>
              <w:rPr/>
            </w:pPr>
            <w:r>
              <w:rPr>
                <w:rStyle w:val="Style14"/>
                <w:rFonts w:eastAsia="標楷體"/>
                <w:b/>
                <w:sz w:val="28"/>
                <w:szCs w:val="28"/>
                <w:u w:val="single"/>
              </w:rPr>
              <w:t>具留宿或鼓勵</w:t>
            </w:r>
            <w:r>
              <w:rPr>
                <w:rStyle w:val="Style14"/>
                <w:rFonts w:eastAsia="標楷體"/>
                <w:b/>
                <w:sz w:val="28"/>
                <w:szCs w:val="28"/>
                <w:u w:val="single"/>
              </w:rPr>
              <w:t>2</w:t>
            </w:r>
            <w:r>
              <w:rPr>
                <w:rStyle w:val="Style14"/>
                <w:rFonts w:eastAsia="標楷體"/>
                <w:b/>
                <w:sz w:val="28"/>
                <w:szCs w:val="28"/>
                <w:u w:val="single"/>
              </w:rPr>
              <w:t>日以上旅遊</w:t>
            </w:r>
            <w:r>
              <w:rPr>
                <w:rStyle w:val="Style14"/>
                <w:rFonts w:eastAsia="標楷體"/>
                <w:bCs/>
                <w:sz w:val="28"/>
                <w:szCs w:val="28"/>
              </w:rPr>
              <w:t>，及規劃結合在地旅遊特色資源、整合旅遊產業，包裝有助於吸引外地遊客之遊程或</w:t>
            </w:r>
            <w:r>
              <w:rPr>
                <w:rStyle w:val="Style14"/>
                <w:rFonts w:eastAsia="標楷體"/>
                <w:b/>
                <w:sz w:val="28"/>
                <w:szCs w:val="28"/>
                <w:u w:val="single"/>
              </w:rPr>
              <w:t>將遊程產品化</w:t>
            </w:r>
            <w:r>
              <w:rPr>
                <w:rStyle w:val="Style14"/>
                <w:rFonts w:eastAsia="標楷體"/>
                <w:bCs/>
                <w:sz w:val="28"/>
                <w:szCs w:val="28"/>
              </w:rPr>
              <w:t>之措施。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480"/>
              </w:tabs>
              <w:spacing w:lineRule="exact" w:line="440"/>
              <w:ind w:hanging="567" w:start="879" w:end="0"/>
              <w:rPr/>
            </w:pPr>
            <w:bookmarkStart w:id="3" w:name="_Hlk204705974"/>
            <w:bookmarkEnd w:id="3"/>
            <w:r>
              <w:rPr>
                <w:rStyle w:val="Style14"/>
                <w:rFonts w:eastAsia="標楷體"/>
                <w:b/>
                <w:bCs/>
                <w:sz w:val="28"/>
                <w:szCs w:val="28"/>
                <w:u w:val="single"/>
              </w:rPr>
              <w:t>開創觀光淡季商機</w:t>
            </w:r>
            <w:r>
              <w:rPr>
                <w:rStyle w:val="Style14"/>
                <w:rFonts w:eastAsia="標楷體"/>
                <w:sz w:val="28"/>
                <w:szCs w:val="28"/>
              </w:rPr>
              <w:t>：延伸觀光熱潮、延續觀光商機及效益。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480"/>
              </w:tabs>
              <w:spacing w:lineRule="exact" w:line="440"/>
              <w:ind w:hanging="567" w:start="879" w:end="0"/>
              <w:rPr/>
            </w:pPr>
            <w:bookmarkStart w:id="4" w:name="_Hlk204705974"/>
            <w:bookmarkEnd w:id="4"/>
            <w:r>
              <w:rPr>
                <w:rStyle w:val="Style14"/>
                <w:rFonts w:eastAsia="標楷體"/>
                <w:b/>
                <w:bCs/>
                <w:sz w:val="28"/>
                <w:szCs w:val="28"/>
                <w:u w:val="single"/>
              </w:rPr>
              <w:t>營造觀光生態圈：</w:t>
            </w:r>
            <w:bookmarkStart w:id="5" w:name="_Hlk204706004"/>
            <w:bookmarkStart w:id="6" w:name="_Hlk204706025"/>
            <w:r>
              <w:rPr>
                <w:rStyle w:val="Style14"/>
                <w:rFonts w:eastAsia="標楷體"/>
                <w:sz w:val="28"/>
                <w:szCs w:val="28"/>
              </w:rPr>
              <w:t>活動延伸在地產業及商家，建立具辨識度之在地觀光品牌</w:t>
            </w:r>
            <w:bookmarkEnd w:id="6"/>
            <w:r>
              <w:rPr>
                <w:rStyle w:val="Style14"/>
                <w:rFonts w:eastAsia="標楷體"/>
                <w:sz w:val="28"/>
                <w:szCs w:val="28"/>
              </w:rPr>
              <w:t>。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480"/>
              </w:tabs>
              <w:spacing w:lineRule="exact" w:line="440"/>
              <w:ind w:hanging="567" w:start="879" w:end="0"/>
              <w:rPr/>
            </w:pPr>
            <w:bookmarkEnd w:id="5"/>
            <w:r>
              <w:rPr>
                <w:rStyle w:val="Style14"/>
                <w:rFonts w:ascii="標楷體" w:hAnsi="標楷體" w:eastAsia="標楷體"/>
                <w:b/>
                <w:bCs/>
                <w:sz w:val="28"/>
                <w:szCs w:val="28"/>
                <w:u w:val="single"/>
              </w:rPr>
              <w:t>納入永續觀念</w:t>
            </w:r>
            <w:r>
              <w:rPr>
                <w:rStyle w:val="Style14"/>
                <w:rFonts w:eastAsia="標楷體"/>
                <w:b/>
                <w:bCs/>
                <w:sz w:val="28"/>
                <w:szCs w:val="28"/>
                <w:u w:val="single"/>
              </w:rPr>
              <w:t>：</w:t>
            </w:r>
            <w:bookmarkStart w:id="7" w:name="_Hlk204706039"/>
            <w:r>
              <w:rPr>
                <w:rStyle w:val="Style14"/>
                <w:rFonts w:eastAsia="標楷體"/>
                <w:sz w:val="28"/>
                <w:szCs w:val="28"/>
              </w:rPr>
              <w:t>活動實踐環保與永續旅遊原則，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如推廣免用一次性餐具、整合大眾運輸與套票機制、導入其他永續措施</w:t>
            </w:r>
            <w:bookmarkEnd w:id="7"/>
            <w:r>
              <w:rPr>
                <w:rStyle w:val="Style14"/>
                <w:rFonts w:eastAsia="標楷體"/>
                <w:bCs/>
                <w:kern w:val="2"/>
                <w:sz w:val="28"/>
                <w:szCs w:val="28"/>
              </w:rPr>
              <w:t>。</w:t>
            </w:r>
          </w:p>
          <w:p>
            <w:pPr>
              <w:pStyle w:val="BodyText"/>
              <w:numPr>
                <w:ilvl w:val="0"/>
                <w:numId w:val="3"/>
              </w:numPr>
              <w:tabs>
                <w:tab w:val="clear" w:pos="480"/>
              </w:tabs>
              <w:spacing w:lineRule="exact" w:line="440"/>
              <w:ind w:hanging="567" w:start="879" w:end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安全規劃、無障礙設施、導覽解說服務、交通便利性。</w:t>
            </w:r>
          </w:p>
        </w:tc>
      </w:tr>
      <w:tr>
        <w:trPr>
          <w:trHeight w:val="948" w:hRule="atLeast"/>
        </w:trPr>
        <w:tc>
          <w:tcPr>
            <w:tcW w:w="197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480"/>
              </w:tabs>
              <w:spacing w:lineRule="exact" w:line="440"/>
              <w:ind w:hanging="567" w:start="595" w:end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宣傳行銷</w:t>
            </w:r>
            <w:r>
              <w:rPr>
                <w:rFonts w:eastAsia="標楷體" w:ascii="標楷體" w:hAnsi="標楷體"/>
                <w:sz w:val="28"/>
                <w:szCs w:val="28"/>
              </w:rPr>
              <w:t>(15%)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480"/>
              </w:tabs>
              <w:spacing w:lineRule="exact" w:line="440"/>
              <w:ind w:hanging="567" w:start="879" w:end="0"/>
              <w:rPr/>
            </w:pPr>
            <w:r>
              <w:rPr>
                <w:rStyle w:val="Style14"/>
                <w:rFonts w:eastAsia="標楷體"/>
                <w:b/>
                <w:sz w:val="28"/>
                <w:szCs w:val="28"/>
                <w:u w:val="single"/>
              </w:rPr>
              <w:t>活動資訊透明與多元：</w:t>
            </w:r>
            <w:r>
              <w:rPr>
                <w:rStyle w:val="Style14"/>
                <w:rFonts w:eastAsia="標楷體"/>
                <w:bCs/>
                <w:sz w:val="28"/>
                <w:szCs w:val="28"/>
              </w:rPr>
              <w:t>建置活動網站或社群平臺、多語別介紹、活動宣傳品產品化等。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480"/>
              </w:tabs>
              <w:spacing w:lineRule="exact" w:line="440"/>
              <w:ind w:hanging="567" w:start="879" w:end="0"/>
              <w:rPr/>
            </w:pPr>
            <w:r>
              <w:rPr>
                <w:rStyle w:val="Style14"/>
                <w:rFonts w:eastAsia="標楷體"/>
                <w:b/>
                <w:sz w:val="28"/>
                <w:szCs w:val="28"/>
                <w:u w:val="single"/>
              </w:rPr>
              <w:t>歷年行銷成果：</w:t>
            </w:r>
            <w:r>
              <w:rPr>
                <w:rStyle w:val="Style14"/>
                <w:rFonts w:eastAsia="標楷體"/>
                <w:bCs/>
                <w:sz w:val="28"/>
                <w:szCs w:val="28"/>
              </w:rPr>
              <w:t>活動之平面、廣播及電子媒體報導篇數及網路聲量等情形。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480"/>
              </w:tabs>
              <w:spacing w:lineRule="exact" w:line="440"/>
              <w:ind w:hanging="567" w:start="879" w:end="0"/>
              <w:rPr/>
            </w:pPr>
            <w:r>
              <w:rPr>
                <w:rStyle w:val="Style14"/>
                <w:rFonts w:eastAsia="標楷體"/>
                <w:b/>
                <w:sz w:val="28"/>
                <w:szCs w:val="28"/>
                <w:u w:val="single"/>
              </w:rPr>
              <w:t>有助於國際行銷或促進外國旅客來臺之具體措施：</w:t>
            </w:r>
            <w:r>
              <w:rPr>
                <w:rStyle w:val="Style14"/>
                <w:rFonts w:eastAsia="標楷體"/>
                <w:bCs/>
                <w:sz w:val="28"/>
                <w:szCs w:val="28"/>
              </w:rPr>
              <w:t>規劃國際分眾市場之具體行銷宣傳方式，如：國際報導篇數、聲量及得獎實績。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480"/>
              </w:tabs>
              <w:spacing w:lineRule="exact" w:line="440"/>
              <w:ind w:hanging="567" w:start="879" w:end="0"/>
              <w:rPr/>
            </w:pPr>
            <w:r>
              <w:rPr>
                <w:rStyle w:val="Style14"/>
                <w:rFonts w:eastAsia="標楷體"/>
                <w:b/>
                <w:sz w:val="28"/>
                <w:szCs w:val="28"/>
                <w:u w:val="single"/>
              </w:rPr>
              <w:t>有助於提升地區知名度與能見度：</w:t>
            </w:r>
            <w:bookmarkStart w:id="8" w:name="_Hlk204706054"/>
            <w:r>
              <w:rPr>
                <w:rStyle w:val="Style14"/>
                <w:rFonts w:eastAsia="標楷體"/>
                <w:bCs/>
                <w:sz w:val="28"/>
                <w:szCs w:val="28"/>
              </w:rPr>
              <w:t>結合地方創生概念與周邊景點串聯，有效擴大活動影響範圍</w:t>
            </w:r>
            <w:bookmarkEnd w:id="8"/>
            <w:r>
              <w:rPr>
                <w:rStyle w:val="Style14"/>
                <w:rFonts w:eastAsia="標楷體"/>
                <w:bCs/>
                <w:sz w:val="28"/>
                <w:szCs w:val="28"/>
              </w:rPr>
              <w:t>。</w:t>
            </w:r>
          </w:p>
        </w:tc>
      </w:tr>
      <w:tr>
        <w:trPr>
          <w:trHeight w:val="558" w:hRule="atLeast"/>
        </w:trPr>
        <w:tc>
          <w:tcPr>
            <w:tcW w:w="197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480"/>
              </w:tabs>
              <w:spacing w:lineRule="exact" w:line="440"/>
              <w:ind w:hanging="567" w:start="595" w:end="0"/>
              <w:rPr/>
            </w:pP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活動</w:t>
            </w:r>
            <w:r>
              <w:rPr>
                <w:rStyle w:val="Style14"/>
                <w:rFonts w:eastAsia="標楷體"/>
                <w:kern w:val="2"/>
                <w:sz w:val="28"/>
                <w:szCs w:val="28"/>
              </w:rPr>
              <w:t>引客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效益</w:t>
            </w:r>
            <w:r>
              <w:rPr>
                <w:rStyle w:val="Style14"/>
                <w:rFonts w:eastAsia="標楷體" w:ascii="標楷體" w:hAnsi="標楷體"/>
                <w:sz w:val="28"/>
                <w:szCs w:val="28"/>
              </w:rPr>
              <w:t>(15%)</w:t>
            </w:r>
          </w:p>
          <w:p>
            <w:pPr>
              <w:pStyle w:val="BodyText"/>
              <w:numPr>
                <w:ilvl w:val="0"/>
                <w:numId w:val="5"/>
              </w:numPr>
              <w:spacing w:lineRule="exact" w:line="440"/>
              <w:ind w:hanging="408" w:start="0" w:end="0"/>
              <w:rPr/>
            </w:pPr>
            <w:r>
              <w:rPr>
                <w:rStyle w:val="Style14"/>
                <w:rFonts w:ascii="標楷體" w:hAnsi="標楷體" w:eastAsia="標楷體"/>
                <w:kern w:val="2"/>
                <w:sz w:val="28"/>
                <w:szCs w:val="28"/>
              </w:rPr>
              <w:t>參與活動</w:t>
            </w:r>
            <w:r>
              <w:rPr>
                <w:rStyle w:val="Style14"/>
                <w:rFonts w:ascii="標楷體" w:hAnsi="標楷體" w:eastAsia="標楷體"/>
                <w:b/>
                <w:bCs/>
                <w:kern w:val="2"/>
                <w:sz w:val="28"/>
                <w:szCs w:val="28"/>
                <w:u w:val="single"/>
              </w:rPr>
              <w:t>國際</w:t>
            </w:r>
            <w:r>
              <w:rPr>
                <w:rStyle w:val="Style14"/>
                <w:rFonts w:ascii="標楷體" w:hAnsi="標楷體" w:eastAsia="標楷體"/>
                <w:kern w:val="2"/>
                <w:sz w:val="28"/>
                <w:szCs w:val="28"/>
              </w:rPr>
              <w:t>旅客人數及</w:t>
            </w:r>
            <w:r>
              <w:rPr>
                <w:rStyle w:val="Style14"/>
                <w:rFonts w:ascii="標楷體" w:hAnsi="標楷體" w:eastAsia="標楷體"/>
                <w:b/>
                <w:bCs/>
                <w:kern w:val="2"/>
                <w:sz w:val="28"/>
                <w:szCs w:val="28"/>
                <w:u w:val="single"/>
              </w:rPr>
              <w:t>國內旅客人數</w:t>
            </w:r>
            <w:r>
              <w:rPr>
                <w:rStyle w:val="Style14"/>
                <w:rFonts w:ascii="標楷體" w:hAnsi="標楷體" w:eastAsia="標楷體"/>
                <w:kern w:val="2"/>
                <w:sz w:val="28"/>
                <w:szCs w:val="28"/>
              </w:rPr>
              <w:t>。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480"/>
              </w:tabs>
              <w:spacing w:lineRule="exact" w:line="440"/>
              <w:ind w:hanging="567" w:start="879" w:end="0"/>
              <w:rPr/>
            </w:pPr>
            <w:r>
              <w:rPr>
                <w:rStyle w:val="Style14"/>
                <w:rFonts w:eastAsia="標楷體"/>
                <w:bCs/>
                <w:kern w:val="2"/>
                <w:sz w:val="28"/>
                <w:szCs w:val="28"/>
              </w:rPr>
              <w:t>住宿、餐飲及購物之觀光</w:t>
            </w:r>
            <w:r>
              <w:rPr>
                <w:rStyle w:val="Style14"/>
                <w:rFonts w:eastAsia="標楷體"/>
                <w:b/>
                <w:kern w:val="2"/>
                <w:sz w:val="28"/>
                <w:szCs w:val="28"/>
                <w:u w:val="single"/>
              </w:rPr>
              <w:t>經濟產值</w:t>
            </w:r>
            <w:r>
              <w:rPr>
                <w:rStyle w:val="Style14"/>
                <w:rFonts w:eastAsia="標楷體"/>
                <w:b/>
                <w:kern w:val="2"/>
                <w:sz w:val="28"/>
                <w:szCs w:val="28"/>
                <w:u w:val="single"/>
              </w:rPr>
              <w:t>(</w:t>
            </w:r>
            <w:r>
              <w:rPr>
                <w:rStyle w:val="Style14"/>
                <w:rFonts w:eastAsia="標楷體"/>
                <w:b/>
                <w:kern w:val="2"/>
                <w:sz w:val="28"/>
                <w:szCs w:val="28"/>
                <w:u w:val="single"/>
              </w:rPr>
              <w:t>包含推估方式</w:t>
            </w:r>
            <w:r>
              <w:rPr>
                <w:rStyle w:val="Style14"/>
                <w:rFonts w:eastAsia="標楷體"/>
                <w:b/>
                <w:kern w:val="2"/>
                <w:sz w:val="28"/>
                <w:szCs w:val="28"/>
                <w:u w:val="single"/>
              </w:rPr>
              <w:t>)</w:t>
            </w:r>
            <w:r>
              <w:rPr>
                <w:rStyle w:val="Style14"/>
                <w:rFonts w:eastAsia="標楷體"/>
                <w:bCs/>
                <w:kern w:val="2"/>
                <w:sz w:val="28"/>
                <w:szCs w:val="28"/>
              </w:rPr>
              <w:t>。</w:t>
            </w:r>
          </w:p>
          <w:p>
            <w:pPr>
              <w:pStyle w:val="BodyText"/>
              <w:numPr>
                <w:ilvl w:val="0"/>
                <w:numId w:val="5"/>
              </w:numPr>
              <w:spacing w:lineRule="exact" w:line="440"/>
              <w:ind w:hanging="408" w:start="0" w:end="0"/>
              <w:rPr/>
            </w:pPr>
            <w:r>
              <w:rPr>
                <w:rStyle w:val="Style14"/>
                <w:rFonts w:eastAsia="標楷體"/>
                <w:bCs/>
                <w:kern w:val="2"/>
                <w:sz w:val="28"/>
                <w:szCs w:val="28"/>
              </w:rPr>
              <w:t>結合鄰近觀光景點，並與業者聯合提供</w:t>
            </w:r>
            <w:r>
              <w:rPr>
                <w:rStyle w:val="Style14"/>
                <w:rFonts w:eastAsia="標楷體"/>
                <w:b/>
                <w:kern w:val="2"/>
                <w:sz w:val="28"/>
                <w:szCs w:val="28"/>
                <w:u w:val="single"/>
              </w:rPr>
              <w:t>多樣化促銷活動</w:t>
            </w:r>
            <w:r>
              <w:rPr>
                <w:rStyle w:val="Style14"/>
                <w:rFonts w:eastAsia="標楷體"/>
                <w:bCs/>
                <w:kern w:val="2"/>
                <w:sz w:val="28"/>
                <w:szCs w:val="28"/>
              </w:rPr>
              <w:t>。</w:t>
            </w:r>
          </w:p>
          <w:p>
            <w:pPr>
              <w:pStyle w:val="BodyText"/>
              <w:numPr>
                <w:ilvl w:val="0"/>
                <w:numId w:val="5"/>
              </w:numPr>
              <w:spacing w:lineRule="exact" w:line="440"/>
              <w:ind w:hanging="408" w:start="0" w:end="0"/>
              <w:rPr/>
            </w:pPr>
            <w:r>
              <w:rPr>
                <w:rStyle w:val="Style14"/>
                <w:rFonts w:eastAsia="標楷體"/>
                <w:bCs/>
                <w:kern w:val="2"/>
                <w:sz w:val="28"/>
                <w:szCs w:val="28"/>
              </w:rPr>
              <w:t>創造更多商機，</w:t>
            </w:r>
            <w:r>
              <w:rPr>
                <w:rStyle w:val="Style14"/>
                <w:rFonts w:eastAsia="標楷體"/>
                <w:b/>
                <w:kern w:val="2"/>
                <w:sz w:val="28"/>
                <w:szCs w:val="28"/>
                <w:u w:val="single"/>
              </w:rPr>
              <w:t>增加與在地連結性</w:t>
            </w:r>
            <w:r>
              <w:rPr>
                <w:rStyle w:val="Style14"/>
                <w:rFonts w:eastAsia="標楷體"/>
                <w:bCs/>
                <w:kern w:val="2"/>
                <w:sz w:val="28"/>
                <w:szCs w:val="28"/>
              </w:rPr>
              <w:t>及</w:t>
            </w:r>
            <w:r>
              <w:rPr>
                <w:rStyle w:val="Style14"/>
                <w:rFonts w:eastAsia="標楷體"/>
                <w:b/>
                <w:kern w:val="2"/>
                <w:sz w:val="28"/>
                <w:szCs w:val="28"/>
                <w:u w:val="single"/>
              </w:rPr>
              <w:t>就業機會</w:t>
            </w:r>
            <w:r>
              <w:rPr>
                <w:rStyle w:val="Style14"/>
                <w:rFonts w:eastAsia="標楷體"/>
                <w:bCs/>
                <w:kern w:val="2"/>
                <w:sz w:val="28"/>
                <w:szCs w:val="28"/>
              </w:rPr>
              <w:t>。</w:t>
            </w:r>
          </w:p>
        </w:tc>
      </w:tr>
      <w:tr>
        <w:trPr>
          <w:trHeight w:val="948" w:hRule="atLeast"/>
        </w:trPr>
        <w:tc>
          <w:tcPr>
            <w:tcW w:w="1977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1"/>
              </w:numPr>
              <w:spacing w:lineRule="exact" w:line="44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其他創意項目</w:t>
            </w:r>
            <w:r>
              <w:rPr>
                <w:rFonts w:eastAsia="標楷體" w:ascii="標楷體" w:hAnsi="標楷體"/>
                <w:sz w:val="28"/>
                <w:szCs w:val="28"/>
              </w:rPr>
              <w:t>(10%)</w:t>
            </w:r>
          </w:p>
        </w:tc>
      </w:tr>
      <w:tr>
        <w:trPr>
          <w:trHeight w:val="649" w:hRule="atLeast"/>
        </w:trPr>
        <w:tc>
          <w:tcPr>
            <w:tcW w:w="7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49" w:hRule="atLeast"/>
        </w:trPr>
        <w:tc>
          <w:tcPr>
            <w:tcW w:w="7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49" w:hRule="atLeast"/>
        </w:trPr>
        <w:tc>
          <w:tcPr>
            <w:tcW w:w="7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BodyText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BodyText"/>
        <w:tabs>
          <w:tab w:val="clear" w:pos="480"/>
        </w:tabs>
        <w:spacing w:lineRule="exact" w:line="320"/>
        <w:ind w:hanging="991" w:start="0" w:end="-674"/>
        <w:rPr/>
      </w:pPr>
      <w:r>
        <w:rPr>
          <w:rStyle w:val="Style14"/>
          <w:rFonts w:ascii="標楷體" w:hAnsi="標楷體" w:eastAsia="標楷體"/>
        </w:rPr>
        <w:t>備註：請檢附</w:t>
      </w:r>
      <w:r>
        <w:rPr>
          <w:rStyle w:val="Style14"/>
          <w:rFonts w:eastAsia="標楷體"/>
        </w:rPr>
        <w:t>照片及媒體報導或露出畫面摘錄等佐證資料（首次辦理之活動可免提供）。</w:t>
      </w:r>
    </w:p>
    <w:sectPr>
      <w:footerReference w:type="default" r:id="rId2"/>
      <w:type w:val="nextPage"/>
      <w:pgSz w:w="11906" w:h="16838"/>
      <w:pgMar w:left="1701" w:right="1418" w:gutter="0" w:header="0" w:top="851" w:footer="851" w:bottom="1418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ourier New">
    <w:charset w:val="88"/>
    <w:family w:val="modern"/>
    <w:pitch w:val="fixed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新細明體">
    <w:charset w:val="88"/>
    <w:family w:val="roman"/>
    <w:pitch w:val="variable"/>
  </w:font>
  <w:font w:name="Arial">
    <w:charset w:val="88"/>
    <w:family w:val="swiss"/>
    <w:pitch w:val="variable"/>
  </w:font>
  <w:font w:name="細明體">
    <w:charset w:val="88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Style14"/>
        <w:lang w:val="zh-TW"/>
      </w:rPr>
      <w:fldChar w:fldCharType="begin"/>
    </w:r>
    <w:r>
      <w:rPr>
        <w:rStyle w:val="Style14"/>
        <w:lang w:val="zh-TW"/>
      </w:rPr>
      <w:instrText xml:space="preserve"> PAGE </w:instrText>
    </w:r>
    <w:r>
      <w:rPr>
        <w:rStyle w:val="Style14"/>
        <w:lang w:val="zh-TW"/>
      </w:rPr>
      <w:fldChar w:fldCharType="separate"/>
    </w:r>
    <w:r>
      <w:rPr>
        <w:rStyle w:val="Style14"/>
        <w:lang w:val="zh-TW"/>
      </w:rPr>
      <w:t>2</w:t>
    </w:r>
    <w:r>
      <w:rPr>
        <w:rStyle w:val="Style14"/>
        <w:lang w:val="zh-TW"/>
      </w:rPr>
      <w:fldChar w:fldCharType="end"/>
    </w:r>
  </w:p>
  <w:p>
    <w:pPr>
      <w:pStyle w:val="Footer"/>
      <w:jc w:val="end"/>
      <w:rPr>
        <w:rFonts w:eastAsia="標楷體"/>
      </w:rPr>
    </w:pPr>
    <w:r>
      <w:rPr>
        <w:rFonts w:eastAsia="標楷體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taiwaneseCountingThousand"/>
      <w:lvlText w:val="%1、"/>
      <w:lvlJc w:val="start"/>
      <w:pPr>
        <w:tabs>
          <w:tab w:val="num" w:pos="0"/>
        </w:tabs>
        <w:ind w:start="720" w:hanging="720"/>
      </w:pPr>
    </w:lvl>
    <w:lvl w:ilvl="1">
      <w:start w:val="1"/>
      <w:numFmt w:val="ideographTraditional"/>
      <w:lvlText w:val="%2、"/>
      <w:lvlJc w:val="start"/>
      <w:pPr>
        <w:tabs>
          <w:tab w:val="num" w:pos="0"/>
        </w:tabs>
        <w:ind w:start="960" w:hanging="48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1440" w:hanging="4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920" w:hanging="480"/>
      </w:pPr>
    </w:lvl>
    <w:lvl w:ilvl="4">
      <w:start w:val="1"/>
      <w:numFmt w:val="ideographTraditional"/>
      <w:lvlText w:val="%5、"/>
      <w:lvlJc w:val="start"/>
      <w:pPr>
        <w:tabs>
          <w:tab w:val="num" w:pos="0"/>
        </w:tabs>
        <w:ind w:start="2400" w:hanging="48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2880" w:hanging="4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80"/>
      </w:pPr>
    </w:lvl>
    <w:lvl w:ilvl="7">
      <w:start w:val="1"/>
      <w:numFmt w:val="ideographTraditional"/>
      <w:lvlText w:val="%8、"/>
      <w:lvlJc w:val="start"/>
      <w:pPr>
        <w:tabs>
          <w:tab w:val="num" w:pos="0"/>
        </w:tabs>
        <w:ind w:start="3840" w:hanging="48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4320" w:hanging="480"/>
      </w:pPr>
    </w:lvl>
  </w:abstractNum>
  <w:abstractNum w:abstractNumId="2">
    <w:lvl w:ilvl="0">
      <w:start w:val="1"/>
      <w:numFmt w:val="taiwaneseCountingThousand"/>
      <w:lvlText w:val="(%1)"/>
      <w:lvlJc w:val="start"/>
      <w:pPr>
        <w:tabs>
          <w:tab w:val="num" w:pos="0"/>
        </w:tabs>
        <w:ind w:start="720" w:hanging="720"/>
      </w:pPr>
      <w:rPr>
        <w:color w:val="auto"/>
      </w:rPr>
    </w:lvl>
    <w:lvl w:ilvl="1">
      <w:start w:val="1"/>
      <w:numFmt w:val="ideographTraditional"/>
      <w:lvlText w:val="%2、"/>
      <w:lvlJc w:val="start"/>
      <w:pPr>
        <w:tabs>
          <w:tab w:val="num" w:pos="0"/>
        </w:tabs>
        <w:ind w:start="960" w:hanging="48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1440" w:hanging="4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920" w:hanging="480"/>
      </w:pPr>
    </w:lvl>
    <w:lvl w:ilvl="4">
      <w:start w:val="1"/>
      <w:numFmt w:val="ideographTraditional"/>
      <w:lvlText w:val="%5、"/>
      <w:lvlJc w:val="start"/>
      <w:pPr>
        <w:tabs>
          <w:tab w:val="num" w:pos="0"/>
        </w:tabs>
        <w:ind w:start="2400" w:hanging="48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2880" w:hanging="4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80"/>
      </w:pPr>
    </w:lvl>
    <w:lvl w:ilvl="7">
      <w:start w:val="1"/>
      <w:numFmt w:val="ideographTraditional"/>
      <w:lvlText w:val="%8、"/>
      <w:lvlJc w:val="start"/>
      <w:pPr>
        <w:tabs>
          <w:tab w:val="num" w:pos="0"/>
        </w:tabs>
        <w:ind w:start="3840" w:hanging="48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4320" w:hanging="480"/>
      </w:pPr>
    </w:lvl>
  </w:abstractNum>
  <w:abstractNum w:abstractNumId="3">
    <w:lvl w:ilvl="0">
      <w:start w:val="1"/>
      <w:numFmt w:val="taiwaneseCountingThousand"/>
      <w:lvlText w:val="(%1)"/>
      <w:lvlJc w:val="start"/>
      <w:pPr>
        <w:tabs>
          <w:tab w:val="num" w:pos="0"/>
        </w:tabs>
        <w:ind w:start="720" w:hanging="720"/>
      </w:pPr>
      <w:rPr>
        <w:b w:val="false"/>
        <w:bCs w:val="false"/>
        <w:color w:val="auto"/>
      </w:rPr>
    </w:lvl>
    <w:lvl w:ilvl="1">
      <w:start w:val="1"/>
      <w:numFmt w:val="ideographTraditional"/>
      <w:lvlText w:val="%2、"/>
      <w:lvlJc w:val="start"/>
      <w:pPr>
        <w:tabs>
          <w:tab w:val="num" w:pos="0"/>
        </w:tabs>
        <w:ind w:start="960" w:hanging="48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1440" w:hanging="4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920" w:hanging="480"/>
      </w:pPr>
    </w:lvl>
    <w:lvl w:ilvl="4">
      <w:start w:val="1"/>
      <w:numFmt w:val="ideographTraditional"/>
      <w:lvlText w:val="%5、"/>
      <w:lvlJc w:val="start"/>
      <w:pPr>
        <w:tabs>
          <w:tab w:val="num" w:pos="0"/>
        </w:tabs>
        <w:ind w:start="2400" w:hanging="48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2880" w:hanging="4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80"/>
      </w:pPr>
    </w:lvl>
    <w:lvl w:ilvl="7">
      <w:start w:val="1"/>
      <w:numFmt w:val="ideographTraditional"/>
      <w:lvlText w:val="%8、"/>
      <w:lvlJc w:val="start"/>
      <w:pPr>
        <w:tabs>
          <w:tab w:val="num" w:pos="0"/>
        </w:tabs>
        <w:ind w:start="3840" w:hanging="48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4320" w:hanging="480"/>
      </w:pPr>
    </w:lvl>
  </w:abstractNum>
  <w:abstractNum w:abstractNumId="4">
    <w:lvl w:ilvl="0">
      <w:start w:val="1"/>
      <w:numFmt w:val="taiwaneseCountingThousand"/>
      <w:lvlText w:val="(%1)"/>
      <w:lvlJc w:val="start"/>
      <w:pPr>
        <w:tabs>
          <w:tab w:val="num" w:pos="0"/>
        </w:tabs>
        <w:ind w:start="720" w:hanging="720"/>
      </w:pPr>
      <w:rPr>
        <w:b w:val="false"/>
        <w:bCs w:val="false"/>
        <w:color w:val="auto"/>
      </w:rPr>
    </w:lvl>
    <w:lvl w:ilvl="1">
      <w:start w:val="1"/>
      <w:numFmt w:val="ideographTraditional"/>
      <w:lvlText w:val="%2、"/>
      <w:lvlJc w:val="start"/>
      <w:pPr>
        <w:tabs>
          <w:tab w:val="num" w:pos="0"/>
        </w:tabs>
        <w:ind w:start="960" w:hanging="48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1440" w:hanging="4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920" w:hanging="480"/>
      </w:pPr>
    </w:lvl>
    <w:lvl w:ilvl="4">
      <w:start w:val="1"/>
      <w:numFmt w:val="ideographTraditional"/>
      <w:lvlText w:val="%5、"/>
      <w:lvlJc w:val="start"/>
      <w:pPr>
        <w:tabs>
          <w:tab w:val="num" w:pos="0"/>
        </w:tabs>
        <w:ind w:start="2400" w:hanging="48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2880" w:hanging="4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80"/>
      </w:pPr>
    </w:lvl>
    <w:lvl w:ilvl="7">
      <w:start w:val="1"/>
      <w:numFmt w:val="ideographTraditional"/>
      <w:lvlText w:val="%8、"/>
      <w:lvlJc w:val="start"/>
      <w:pPr>
        <w:tabs>
          <w:tab w:val="num" w:pos="0"/>
        </w:tabs>
        <w:ind w:start="3840" w:hanging="48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4320" w:hanging="480"/>
      </w:pPr>
    </w:lvl>
  </w:abstractNum>
  <w:abstractNum w:abstractNumId="5">
    <w:lvl w:ilvl="0">
      <w:start w:val="1"/>
      <w:numFmt w:val="taiwaneseCountingThousand"/>
      <w:lvlText w:val="(%1)"/>
      <w:lvlJc w:val="start"/>
      <w:pPr>
        <w:tabs>
          <w:tab w:val="num" w:pos="0"/>
        </w:tabs>
        <w:ind w:start="720" w:hanging="720"/>
      </w:pPr>
      <w:rPr>
        <w:b w:val="false"/>
        <w:bCs/>
        <w:rFonts w:ascii="標楷體" w:hAnsi="標楷體" w:eastAsia="標楷體"/>
      </w:rPr>
    </w:lvl>
    <w:lvl w:ilvl="1">
      <w:start w:val="1"/>
      <w:numFmt w:val="ideographTraditional"/>
      <w:lvlText w:val="%2、"/>
      <w:lvlJc w:val="start"/>
      <w:pPr>
        <w:tabs>
          <w:tab w:val="num" w:pos="0"/>
        </w:tabs>
        <w:ind w:start="960" w:hanging="48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1440" w:hanging="4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1920" w:hanging="480"/>
      </w:pPr>
    </w:lvl>
    <w:lvl w:ilvl="4">
      <w:start w:val="1"/>
      <w:numFmt w:val="ideographTraditional"/>
      <w:lvlText w:val="%5、"/>
      <w:lvlJc w:val="start"/>
      <w:pPr>
        <w:tabs>
          <w:tab w:val="num" w:pos="0"/>
        </w:tabs>
        <w:ind w:start="2400" w:hanging="48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2880" w:hanging="4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3360" w:hanging="480"/>
      </w:pPr>
    </w:lvl>
    <w:lvl w:ilvl="7">
      <w:start w:val="1"/>
      <w:numFmt w:val="ideographTraditional"/>
      <w:lvlText w:val="%8、"/>
      <w:lvlJc w:val="start"/>
      <w:pPr>
        <w:tabs>
          <w:tab w:val="num" w:pos="0"/>
        </w:tabs>
        <w:ind w:start="3840" w:hanging="48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4320" w:hanging="480"/>
      </w:pPr>
    </w:lvl>
  </w:abstractNum>
  <w:abstractNum w:abstractNumId="6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hyphenationZone w:val="0"/>
  <w:compat>
    <w:doNotExpandShiftReturn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超連結"/>
    <w:qFormat/>
    <w:rPr>
      <w:color w:val="0000FF"/>
      <w:u w:val="single"/>
    </w:rPr>
  </w:style>
  <w:style w:type="character" w:styleId="Style16">
    <w:name w:val="已查閱的超連結"/>
    <w:qFormat/>
    <w:rPr>
      <w:color w:val="800080"/>
      <w:u w:val="single"/>
    </w:rPr>
  </w:style>
  <w:style w:type="character" w:styleId="PageNumber">
    <w:name w:val="page number"/>
    <w:basedOn w:val="Style14"/>
    <w:rPr/>
  </w:style>
  <w:style w:type="character" w:styleId="Style17">
    <w:name w:val="註解參照"/>
    <w:qFormat/>
    <w:rPr>
      <w:sz w:val="18"/>
      <w:szCs w:val="18"/>
    </w:rPr>
  </w:style>
  <w:style w:type="character" w:styleId="Style18">
    <w:name w:val="註解文字 字元"/>
    <w:qFormat/>
    <w:rPr>
      <w:kern w:val="2"/>
      <w:sz w:val="24"/>
    </w:rPr>
  </w:style>
  <w:style w:type="character" w:styleId="Style19">
    <w:name w:val="註解主旨 字元"/>
    <w:qFormat/>
    <w:rPr>
      <w:b/>
      <w:bCs/>
      <w:kern w:val="2"/>
      <w:sz w:val="24"/>
    </w:rPr>
  </w:style>
  <w:style w:type="character" w:styleId="Style20">
    <w:name w:val="頁尾 字元"/>
    <w:qFormat/>
    <w:rPr>
      <w:kern w:val="2"/>
    </w:rPr>
  </w:style>
  <w:style w:type="character" w:styleId="Style21">
    <w:name w:val="強調粗體"/>
    <w:qFormat/>
    <w:rPr>
      <w:b/>
      <w:bCs/>
    </w:rPr>
  </w:style>
  <w:style w:type="character" w:styleId="HTML">
    <w:name w:val="HTML 預設格式 字元"/>
    <w:qFormat/>
    <w:rPr>
      <w:rFonts w:ascii="Courier New" w:hAnsi="Courier New" w:cs="Courier New"/>
      <w:kern w:val="2"/>
    </w:rPr>
  </w:style>
  <w:style w:type="character" w:styleId="WWCharLFO8LVL2">
    <w:name w:val="WW_CharLFO8LVL2"/>
    <w:qFormat/>
    <w:rPr>
      <w:rFonts w:ascii="Times New Roman" w:hAnsi="Times New Roman" w:eastAsia="標楷體" w:cs="Times New Roman"/>
      <w:lang w:val="en-US"/>
    </w:rPr>
  </w:style>
  <w:style w:type="character" w:styleId="WWCharLFO21LVL1">
    <w:name w:val="WW_CharLFO21LVL1"/>
    <w:qFormat/>
    <w:rPr>
      <w:rFonts w:ascii="Times New Roman" w:hAnsi="Times New Roman" w:eastAsia="標楷體" w:cs="Times New Roman"/>
      <w:lang w:val="en-US"/>
    </w:rPr>
  </w:style>
  <w:style w:type="character" w:styleId="WWCharLFO22LVL1">
    <w:name w:val="WW_CharLFO22LVL1"/>
    <w:qFormat/>
    <w:rPr>
      <w:rFonts w:ascii="標楷體" w:hAnsi="標楷體" w:eastAsia="標楷體" w:cs="Times New Roman"/>
    </w:rPr>
  </w:style>
  <w:style w:type="character" w:styleId="WWCharLFO23LVL1">
    <w:name w:val="WW_CharLFO23LVL1"/>
    <w:qFormat/>
    <w:rPr>
      <w:rFonts w:ascii="標楷體" w:hAnsi="標楷體"/>
    </w:rPr>
  </w:style>
  <w:style w:type="character" w:styleId="WWCharLFO26LVL1">
    <w:name w:val="WW_CharLFO26LVL1"/>
    <w:qFormat/>
    <w:rPr>
      <w:color w:val="auto"/>
    </w:rPr>
  </w:style>
  <w:style w:type="character" w:styleId="WWCharLFO26LVL2">
    <w:name w:val="WW_CharLFO26LVL2"/>
    <w:qFormat/>
    <w:rPr>
      <w:lang w:val="en-US"/>
    </w:rPr>
  </w:style>
  <w:style w:type="character" w:styleId="WWCharLFO34LVL1">
    <w:name w:val="WW_CharLFO34LVL1"/>
    <w:qFormat/>
    <w:rPr>
      <w:color w:val="auto"/>
    </w:rPr>
  </w:style>
  <w:style w:type="character" w:styleId="WWCharLFO35LVL1">
    <w:name w:val="WW_CharLFO35LVL1"/>
    <w:qFormat/>
    <w:rPr>
      <w:b w:val="false"/>
      <w:bCs w:val="false"/>
      <w:color w:val="auto"/>
    </w:rPr>
  </w:style>
  <w:style w:type="character" w:styleId="WWCharLFO36LVL1">
    <w:name w:val="WW_CharLFO36LVL1"/>
    <w:qFormat/>
    <w:rPr>
      <w:rFonts w:ascii="標楷體" w:hAnsi="標楷體" w:eastAsia="標楷體"/>
      <w:b w:val="false"/>
      <w:bCs w:val="false"/>
      <w:color w:val="auto"/>
    </w:rPr>
  </w:style>
  <w:style w:type="character" w:styleId="WWCharLFO38LVL1">
    <w:name w:val="WW_CharLFO38LVL1"/>
    <w:qFormat/>
    <w:rPr>
      <w:rFonts w:ascii="Wingdings" w:hAnsi="Wingdings"/>
    </w:rPr>
  </w:style>
  <w:style w:type="character" w:styleId="WWCharLFO38LVL2">
    <w:name w:val="WW_CharLFO38LVL2"/>
    <w:qFormat/>
    <w:rPr>
      <w:rFonts w:ascii="Wingdings" w:hAnsi="Wingdings"/>
    </w:rPr>
  </w:style>
  <w:style w:type="character" w:styleId="WWCharLFO38LVL3">
    <w:name w:val="WW_CharLFO38LVL3"/>
    <w:qFormat/>
    <w:rPr>
      <w:rFonts w:ascii="Wingdings" w:hAnsi="Wingdings"/>
    </w:rPr>
  </w:style>
  <w:style w:type="character" w:styleId="WWCharLFO38LVL4">
    <w:name w:val="WW_CharLFO38LVL4"/>
    <w:qFormat/>
    <w:rPr>
      <w:rFonts w:ascii="Wingdings" w:hAnsi="Wingdings"/>
    </w:rPr>
  </w:style>
  <w:style w:type="character" w:styleId="WWCharLFO38LVL5">
    <w:name w:val="WW_CharLFO38LVL5"/>
    <w:qFormat/>
    <w:rPr>
      <w:rFonts w:ascii="Wingdings" w:hAnsi="Wingdings"/>
    </w:rPr>
  </w:style>
  <w:style w:type="character" w:styleId="WWCharLFO38LVL6">
    <w:name w:val="WW_CharLFO38LVL6"/>
    <w:qFormat/>
    <w:rPr>
      <w:rFonts w:ascii="Wingdings" w:hAnsi="Wingdings"/>
    </w:rPr>
  </w:style>
  <w:style w:type="character" w:styleId="WWCharLFO38LVL7">
    <w:name w:val="WW_CharLFO38LVL7"/>
    <w:qFormat/>
    <w:rPr>
      <w:rFonts w:ascii="Wingdings" w:hAnsi="Wingdings"/>
    </w:rPr>
  </w:style>
  <w:style w:type="character" w:styleId="WWCharLFO38LVL8">
    <w:name w:val="WW_CharLFO38LVL8"/>
    <w:qFormat/>
    <w:rPr>
      <w:rFonts w:ascii="Wingdings" w:hAnsi="Wingdings"/>
    </w:rPr>
  </w:style>
  <w:style w:type="character" w:styleId="WWCharLFO38LVL9">
    <w:name w:val="WW_CharLFO38LVL9"/>
    <w:qFormat/>
    <w:rPr>
      <w:rFonts w:ascii="Wingdings" w:hAnsi="Wingdings"/>
    </w:rPr>
  </w:style>
  <w:style w:type="character" w:styleId="WWCharLFO40LVL1">
    <w:name w:val="WW_CharLFO40LVL1"/>
    <w:qFormat/>
    <w:rPr>
      <w:rFonts w:ascii="標楷體" w:hAnsi="標楷體" w:eastAsia="標楷體"/>
      <w:b w:val="false"/>
      <w:bCs/>
    </w:rPr>
  </w:style>
  <w:style w:type="character" w:styleId="WWCharLFO41LVL1">
    <w:name w:val="WW_CharLFO41LVL1"/>
    <w:qFormat/>
    <w:rPr>
      <w:rFonts w:ascii="Wingdings" w:hAnsi="Wingdings"/>
    </w:rPr>
  </w:style>
  <w:style w:type="character" w:styleId="WWCharLFO41LVL2">
    <w:name w:val="WW_CharLFO41LVL2"/>
    <w:qFormat/>
    <w:rPr>
      <w:rFonts w:ascii="Wingdings" w:hAnsi="Wingdings"/>
    </w:rPr>
  </w:style>
  <w:style w:type="character" w:styleId="WWCharLFO41LVL3">
    <w:name w:val="WW_CharLFO41LVL3"/>
    <w:qFormat/>
    <w:rPr>
      <w:rFonts w:ascii="Wingdings" w:hAnsi="Wingdings"/>
    </w:rPr>
  </w:style>
  <w:style w:type="character" w:styleId="WWCharLFO41LVL4">
    <w:name w:val="WW_CharLFO41LVL4"/>
    <w:qFormat/>
    <w:rPr>
      <w:rFonts w:ascii="Wingdings" w:hAnsi="Wingdings"/>
    </w:rPr>
  </w:style>
  <w:style w:type="character" w:styleId="WWCharLFO41LVL5">
    <w:name w:val="WW_CharLFO41LVL5"/>
    <w:qFormat/>
    <w:rPr>
      <w:rFonts w:ascii="Wingdings" w:hAnsi="Wingdings"/>
    </w:rPr>
  </w:style>
  <w:style w:type="character" w:styleId="WWCharLFO41LVL6">
    <w:name w:val="WW_CharLFO41LVL6"/>
    <w:qFormat/>
    <w:rPr>
      <w:rFonts w:ascii="Wingdings" w:hAnsi="Wingdings"/>
    </w:rPr>
  </w:style>
  <w:style w:type="character" w:styleId="WWCharLFO41LVL7">
    <w:name w:val="WW_CharLFO41LVL7"/>
    <w:qFormat/>
    <w:rPr>
      <w:rFonts w:ascii="Wingdings" w:hAnsi="Wingdings"/>
    </w:rPr>
  </w:style>
  <w:style w:type="character" w:styleId="WWCharLFO41LVL8">
    <w:name w:val="WW_CharLFO41LVL8"/>
    <w:qFormat/>
    <w:rPr>
      <w:rFonts w:ascii="Wingdings" w:hAnsi="Wingdings"/>
    </w:rPr>
  </w:style>
  <w:style w:type="character" w:styleId="WWCharLFO41LVL9">
    <w:name w:val="WW_CharLFO41LVL9"/>
    <w:qFormat/>
    <w:rPr>
      <w:rFonts w:ascii="Wingdings" w:hAnsi="Wingdings"/>
    </w:rPr>
  </w:style>
  <w:style w:type="character" w:styleId="WWCharLFO42LVL1">
    <w:name w:val="WW_CharLFO42LVL1"/>
    <w:qFormat/>
    <w:rPr>
      <w:rFonts w:ascii="標楷體" w:hAnsi="標楷體" w:eastAsia="標楷體"/>
      <w:b w:val="false"/>
      <w:color w:val="auto"/>
    </w:rPr>
  </w:style>
  <w:style w:type="character" w:styleId="WWCharLFO43LVL1">
    <w:name w:val="WW_CharLFO43LVL1"/>
    <w:qFormat/>
    <w:rPr>
      <w:b w:val="false"/>
      <w:bCs w:val="false"/>
      <w:color w:val="auto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2">
    <w:name w:val="本文縮排 2"/>
    <w:basedOn w:val="BodyText"/>
    <w:qFormat/>
    <w:pPr>
      <w:tabs>
        <w:tab w:val="clear" w:pos="480"/>
      </w:tabs>
      <w:suppressAutoHyphens w:val="true"/>
      <w:spacing w:lineRule="exact" w:line="400"/>
      <w:ind w:hanging="840" w:start="840" w:end="0"/>
    </w:pPr>
    <w:rPr>
      <w:rFonts w:ascii="標楷體" w:hAnsi="標楷體" w:eastAsia="標楷體"/>
      <w:color w:val="000000"/>
      <w:sz w:val="28"/>
      <w:szCs w:val="28"/>
    </w:rPr>
  </w:style>
  <w:style w:type="paragraph" w:styleId="Web">
    <w:name w:val="內文 (Web)"/>
    <w:basedOn w:val="BodyText"/>
    <w:qFormat/>
    <w:pPr>
      <w:widowControl/>
      <w:suppressAutoHyphens w:val="true"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Style22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3">
    <w:name w:val="註解方塊文字"/>
    <w:basedOn w:val="BodyText"/>
    <w:qFormat/>
    <w:pPr>
      <w:suppressAutoHyphens w:val="true"/>
    </w:pPr>
    <w:rPr>
      <w:rFonts w:ascii="Arial" w:hAnsi="Arial"/>
      <w:sz w:val="18"/>
      <w:szCs w:val="18"/>
    </w:rPr>
  </w:style>
  <w:style w:type="paragraph" w:styleId="Style24">
    <w:name w:val="本文縮排"/>
    <w:basedOn w:val="BodyText"/>
    <w:qFormat/>
    <w:pPr>
      <w:tabs>
        <w:tab w:val="clear" w:pos="480"/>
      </w:tabs>
      <w:suppressAutoHyphens w:val="true"/>
      <w:spacing w:before="0" w:after="120"/>
      <w:ind w:hanging="0" w:start="480" w:end="0"/>
    </w:pPr>
    <w:rPr/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5">
    <w:name w:val="註解文字"/>
    <w:basedOn w:val="BodyText"/>
    <w:qFormat/>
    <w:pPr>
      <w:suppressAutoHyphens w:val="true"/>
    </w:pPr>
    <w:rPr/>
  </w:style>
  <w:style w:type="paragraph" w:styleId="Style26">
    <w:name w:val="註解主旨"/>
    <w:basedOn w:val="Style25"/>
    <w:next w:val="Style25"/>
    <w:qFormat/>
    <w:pPr>
      <w:suppressAutoHyphens w:val="true"/>
    </w:pPr>
    <w:rPr>
      <w:b/>
      <w:bCs/>
    </w:rPr>
  </w:style>
  <w:style w:type="paragraph" w:styleId="PlainText">
    <w:name w:val="Plain Text"/>
    <w:basedOn w:val="BodyText"/>
    <w:qFormat/>
    <w:pPr>
      <w:suppressAutoHyphens w:val="true"/>
      <w:textAlignment w:val="baseline"/>
    </w:pPr>
    <w:rPr>
      <w:rFonts w:ascii="細明體" w:hAnsi="細明體" w:eastAsia="細明體"/>
    </w:rPr>
  </w:style>
  <w:style w:type="paragraph" w:styleId="HTML1">
    <w:name w:val="HTML 預設格式"/>
    <w:basedOn w:val="BodyText"/>
    <w:qFormat/>
    <w:pPr>
      <w:suppressAutoHyphens w:val="true"/>
    </w:pPr>
    <w:rPr>
      <w:rFonts w:ascii="Courier New" w:hAnsi="Courier New" w:cs="Courier New"/>
      <w:sz w:val="20"/>
    </w:rPr>
  </w:style>
  <w:style w:type="paragraph" w:styleId="Style27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2</Pages>
  <Words>870</Words>
  <Characters>898</Characters>
  <CharactersWithSpaces>907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2025-08-06T00:46:00Z</dcterms:created>
  <dc:creator>ivywang</dc:creator>
  <dc:description/>
  <dc:language>zh-TW</dc:language>
  <cp:lastModifiedBy>賴昱岑</cp:lastModifiedBy>
  <cp:lastPrinted>2025-07-29T10:46:00Z</cp:lastPrinted>
  <dcterms:modified xsi:type="dcterms:W3CDTF">2025-08-06T00:46:00Z</dcterms:modified>
  <cp:revision>2</cp:revision>
  <dc:subject/>
  <dc:title>交通部觀光局補助接待外國學生來台教育旅行經費審查原則</dc:title>
</cp:coreProperties>
</file>